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108" w:type="dxa"/>
        <w:tblLook w:val="04A0"/>
      </w:tblPr>
      <w:tblGrid>
        <w:gridCol w:w="4480"/>
        <w:gridCol w:w="3160"/>
      </w:tblGrid>
      <w:tr w:rsidR="00745067" w:rsidRPr="00745067" w:rsidTr="00745067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2.0</w:t>
            </w:r>
          </w:p>
        </w:tc>
      </w:tr>
      <w:tr w:rsidR="00745067" w:rsidRPr="00745067" w:rsidTr="00745067">
        <w:trPr>
          <w:trHeight w:val="1035"/>
        </w:trPr>
        <w:tc>
          <w:tcPr>
            <w:tcW w:w="764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745067" w:rsidRPr="00745067" w:rsidTr="00745067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1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745067" w:rsidRPr="00745067" w:rsidTr="00745067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3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745067" w:rsidRPr="00745067" w:rsidTr="00745067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31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745067" w:rsidRPr="00745067" w:rsidTr="00745067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31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7"/>
          </w:p>
        </w:tc>
      </w:tr>
      <w:tr w:rsidR="00745067" w:rsidRPr="00745067" w:rsidTr="00745067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3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bookmarkStart w:id="9" w:name="RANGE!F23"/>
            <w:bookmarkEnd w:id="8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745067" w:rsidRPr="00745067" w:rsidTr="00745067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B34DCF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pict>
                <v:roundrect id="Скругленный прямоугольник 10" o:spid="_x0000_s1026" style="position:absolute;left:0;text-align:left;margin-left:0;margin-top:3.75pt;width:159pt;height:22.5pt;z-index:251658240;visibility:hidden;mso-position-horizontal-relative:text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" fillcolor="#ddd" strokecolor="#bcbcbc" strokeweight=".5pt">
                  <v:stroke joinstyle="miter" endcap="square"/>
                  <v:textbox inset="2.16pt,1.44pt,2.16pt,1.44pt">
                    <w:txbxContent>
                      <w:p w:rsidR="00745067" w:rsidRDefault="00745067" w:rsidP="0074506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20"/>
                            <w:szCs w:val="20"/>
                          </w:rPr>
                          <w:t>Выбор организации</w:t>
                        </w:r>
                      </w:p>
                    </w:txbxContent>
                  </v:textbox>
                </v:roundrect>
              </w:pict>
            </w:r>
          </w:p>
        </w:tc>
      </w:tr>
      <w:tr w:rsidR="00745067" w:rsidRPr="00745067" w:rsidTr="0074506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1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"Водоснабжение"</w:t>
            </w:r>
            <w:bookmarkEnd w:id="10"/>
          </w:p>
        </w:tc>
      </w:tr>
      <w:tr w:rsidR="00745067" w:rsidRPr="00745067" w:rsidTr="0074506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1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3814018323</w:t>
            </w:r>
            <w:bookmarkEnd w:id="12"/>
          </w:p>
        </w:tc>
      </w:tr>
      <w:tr w:rsidR="00745067" w:rsidRPr="00745067" w:rsidTr="00745067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1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745067" w:rsidRPr="00745067" w:rsidTr="00745067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3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745067" w:rsidRPr="00745067" w:rsidTr="00745067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31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74506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18.03.2022</w:t>
            </w:r>
            <w:bookmarkEnd w:id="15"/>
          </w:p>
        </w:tc>
      </w:tr>
      <w:tr w:rsidR="00745067" w:rsidRPr="00745067" w:rsidTr="00745067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3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745067" w:rsidRPr="00745067" w:rsidTr="00745067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3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745067" w:rsidRPr="00745067" w:rsidTr="00745067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1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38"/>
            <w:bookmarkStart w:id="19" w:name="RANGE!F40"/>
            <w:bookmarkEnd w:id="18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666304, г</w:t>
            </w:r>
            <w:proofErr w:type="gram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.С</w:t>
            </w:r>
            <w:proofErr w:type="gram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аянск, промышленно-коммунальная </w:t>
            </w: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зона,проезд</w:t>
            </w:r>
            <w:proofErr w:type="spell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2, дом 15, а/ 380</w:t>
            </w:r>
            <w:bookmarkEnd w:id="19"/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31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Л.В.Караваева</w:t>
            </w:r>
            <w:bookmarkEnd w:id="20"/>
          </w:p>
        </w:tc>
      </w:tr>
      <w:tr w:rsidR="00745067" w:rsidRPr="00745067" w:rsidTr="00745067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16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Л.В.Караева</w:t>
            </w:r>
            <w:bookmarkEnd w:id="21"/>
            <w:proofErr w:type="spellEnd"/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1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31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8(39553)57877</w:t>
            </w:r>
          </w:p>
        </w:tc>
      </w:tr>
      <w:tr w:rsidR="00745067" w:rsidRPr="00745067" w:rsidTr="00745067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316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sayanskvodocanal@mail.ru</w:t>
            </w:r>
          </w:p>
        </w:tc>
      </w:tr>
    </w:tbl>
    <w:p w:rsidR="001E3B67" w:rsidRDefault="001E3B67"/>
    <w:p w:rsidR="00745067" w:rsidRDefault="00745067"/>
    <w:p w:rsidR="00745067" w:rsidRDefault="00745067"/>
    <w:p w:rsidR="00745067" w:rsidRDefault="00745067"/>
    <w:tbl>
      <w:tblPr>
        <w:tblW w:w="9860" w:type="dxa"/>
        <w:tblInd w:w="108" w:type="dxa"/>
        <w:tblLook w:val="04A0"/>
      </w:tblPr>
      <w:tblGrid>
        <w:gridCol w:w="820"/>
        <w:gridCol w:w="5740"/>
        <w:gridCol w:w="1102"/>
        <w:gridCol w:w="2198"/>
      </w:tblGrid>
      <w:tr w:rsidR="00745067" w:rsidRPr="00745067" w:rsidTr="00745067">
        <w:trPr>
          <w:trHeight w:val="780"/>
        </w:trPr>
        <w:tc>
          <w:tcPr>
            <w:tcW w:w="76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745067" w:rsidRPr="00745067" w:rsidTr="00745067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45067" w:rsidRPr="00745067" w:rsidTr="00745067">
        <w:trPr>
          <w:trHeight w:val="360"/>
        </w:trPr>
        <w:tc>
          <w:tcPr>
            <w:tcW w:w="9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45067" w:rsidRPr="00745067" w:rsidTr="00745067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45067" w:rsidRPr="00745067" w:rsidTr="00745067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45067" w:rsidRPr="00745067" w:rsidTr="00745067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45067" w:rsidRPr="00745067" w:rsidTr="0074506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18.03.2022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432,00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226,00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2"/>
          </w:p>
        </w:tc>
      </w:tr>
      <w:tr w:rsidR="00745067" w:rsidRPr="00745067" w:rsidTr="00745067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45067" w:rsidRPr="00745067" w:rsidTr="00745067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745067" w:rsidRPr="00745067" w:rsidTr="00745067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6"/>
            <w:r w:rsidRPr="00745067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178,00</w:t>
            </w:r>
          </w:p>
        </w:tc>
      </w:tr>
      <w:tr w:rsidR="00745067" w:rsidRPr="00745067" w:rsidTr="0074506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12,7440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12,7440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12,7440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745067" w:rsidRDefault="00745067"/>
    <w:tbl>
      <w:tblPr>
        <w:tblW w:w="11160" w:type="dxa"/>
        <w:tblInd w:w="108" w:type="dxa"/>
        <w:tblLook w:val="04A0"/>
      </w:tblPr>
      <w:tblGrid>
        <w:gridCol w:w="620"/>
        <w:gridCol w:w="3198"/>
        <w:gridCol w:w="1102"/>
        <w:gridCol w:w="6240"/>
      </w:tblGrid>
      <w:tr w:rsidR="00745067" w:rsidRPr="00745067" w:rsidTr="00745067">
        <w:trPr>
          <w:trHeight w:val="522"/>
        </w:trPr>
        <w:tc>
          <w:tcPr>
            <w:tcW w:w="512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745067" w:rsidRPr="00745067" w:rsidTr="00745067">
        <w:trPr>
          <w:trHeight w:val="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745067" w:rsidRPr="00745067" w:rsidTr="00745067">
        <w:trPr>
          <w:trHeight w:val="225"/>
        </w:trPr>
        <w:tc>
          <w:tcPr>
            <w:tcW w:w="111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745067" w:rsidRPr="00745067" w:rsidTr="00745067">
        <w:trPr>
          <w:trHeight w:val="2025"/>
        </w:trPr>
        <w:tc>
          <w:tcPr>
            <w:tcW w:w="49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745067" w:rsidRPr="00745067" w:rsidTr="00745067">
        <w:trPr>
          <w:trHeight w:val="225"/>
        </w:trPr>
        <w:tc>
          <w:tcPr>
            <w:tcW w:w="49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2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745067" w:rsidRPr="00745067" w:rsidTr="00745067">
        <w:trPr>
          <w:trHeight w:val="21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745067" w:rsidRPr="00745067" w:rsidTr="00745067">
        <w:trPr>
          <w:trHeight w:val="450"/>
        </w:trPr>
        <w:tc>
          <w:tcPr>
            <w:tcW w:w="4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745067" w:rsidRPr="00745067" w:rsidTr="0074506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7"/>
            <w:bookmarkStart w:id="26" w:name="RANGE!G17"/>
            <w:bookmarkEnd w:id="25"/>
            <w:r w:rsidRPr="00745067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6"/>
          </w:p>
        </w:tc>
      </w:tr>
      <w:tr w:rsidR="00745067" w:rsidRPr="00745067" w:rsidTr="00745067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450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1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10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745067" w:rsidRPr="00745067" w:rsidTr="00745067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</w:tr>
      <w:tr w:rsidR="00745067" w:rsidRPr="00745067" w:rsidTr="00745067">
        <w:trPr>
          <w:trHeight w:val="675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B34DCF" w:rsidP="00745067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="00745067" w:rsidRPr="00745067">
                <w:rPr>
                  <w:rFonts w:ascii="Tahoma" w:eastAsia="Times New Roman" w:hAnsi="Tahoma" w:cs="Tahoma"/>
                  <w:color w:val="333399"/>
                  <w:sz w:val="18"/>
                  <w:szCs w:val="18"/>
                  <w:u w:val="single"/>
                  <w:lang w:eastAsia="ru-RU"/>
                </w:rPr>
                <w:t>https://portal.eias.ru/Portal/DownloadPage.aspx?type=12&amp;guid=21ebea68-8128-4cfa-866e-692f9b14aa51</w:t>
              </w:r>
            </w:hyperlink>
          </w:p>
        </w:tc>
      </w:tr>
      <w:tr w:rsidR="00745067" w:rsidRPr="00745067" w:rsidTr="00745067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45067" w:rsidRPr="00745067" w:rsidRDefault="00745067" w:rsidP="0074506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74506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7" w:name="RANGE!G39"/>
        <w:tc>
          <w:tcPr>
            <w:tcW w:w="603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745067" w:rsidRPr="00745067" w:rsidRDefault="00B34DCF" w:rsidP="00745067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745067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="00745067" w:rsidRPr="00745067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"file:///D:\\Для%20переустановки\\Зубакова\\Экспертиза%20тарифов%20на%20воду%20ООО%20Водоснабжение\\раскрытие%20информации\\2021%20год\\FAS.JKH.OPEN.INFO.BALANCE.HVS(v2.0).xlsb" \l "RANGE!G39" \o "Кликните по гиперссылке, чтобы перейти по гиперссылке или отредактировать её" </w:instrText>
            </w:r>
            <w:r w:rsidRPr="00745067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745067" w:rsidRPr="00745067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https://portal.eias.ru/Portal/DownloadPage.aspx?type=12&amp;guid=21ebea68-8128-4cfa-866e-692f9b14aa51</w:t>
            </w:r>
            <w:r w:rsidRPr="00745067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745067" w:rsidRDefault="00745067">
      <w:bookmarkStart w:id="28" w:name="_GoBack"/>
      <w:bookmarkEnd w:id="28"/>
    </w:p>
    <w:sectPr w:rsidR="00745067" w:rsidSect="00B3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67"/>
    <w:rsid w:val="001A2C7D"/>
    <w:rsid w:val="001E3B67"/>
    <w:rsid w:val="004F51AE"/>
    <w:rsid w:val="00745067"/>
    <w:rsid w:val="00B3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0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067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3;&#1103;%20&#1087;&#1077;&#1088;&#1077;&#1091;&#1089;&#1090;&#1072;&#1085;&#1086;&#1074;&#1082;&#1080;\&#1047;&#1091;&#1073;&#1072;&#1082;&#1086;&#1074;&#1072;\&#1069;&#1082;&#1089;&#1087;&#1077;&#1088;&#1090;&#1080;&#1079;&#1072;%20&#1090;&#1072;&#1088;&#1080;&#1092;&#1086;&#1074;%20&#1085;&#1072;%20&#1074;&#1086;&#1076;&#1091;%20&#1054;&#1054;&#1054;%20&#1042;&#1086;&#1076;&#1086;&#1089;&#1085;&#1072;&#1073;&#1078;&#1077;&#1085;&#1080;&#1077;\&#1088;&#1072;&#1089;&#1082;&#1088;&#1099;&#1090;&#1080;&#1077;%20&#1080;&#1085;&#1092;&#1086;&#1088;&#1084;&#1072;&#1094;&#1080;&#1080;\2021%20&#1075;&#1086;&#1076;\FAS.JKH.OPEN.INFO.BALANCE.HVS(v2.0).xl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79501</cp:lastModifiedBy>
  <cp:revision>2</cp:revision>
  <dcterms:created xsi:type="dcterms:W3CDTF">2022-04-08T00:49:00Z</dcterms:created>
  <dcterms:modified xsi:type="dcterms:W3CDTF">2022-04-08T00:49:00Z</dcterms:modified>
</cp:coreProperties>
</file>